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D" w:rsidRDefault="0056637D" w:rsidP="0056637D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bookmarkStart w:id="0" w:name="art32"/>
      <w:r w:rsidRPr="00894869">
        <w:rPr>
          <w:b/>
          <w:i/>
          <w:color w:val="FF0000"/>
          <w:szCs w:val="28"/>
        </w:rPr>
        <w:t xml:space="preserve">Instruções </w:t>
      </w:r>
      <w:r>
        <w:rPr>
          <w:b/>
          <w:i/>
          <w:color w:val="FF0000"/>
          <w:szCs w:val="28"/>
        </w:rPr>
        <w:t>para elaboração do</w:t>
      </w:r>
      <w:r w:rsidR="00632317">
        <w:rPr>
          <w:b/>
          <w:i/>
          <w:color w:val="FF0000"/>
          <w:szCs w:val="28"/>
        </w:rPr>
        <w:t xml:space="preserve"> </w:t>
      </w:r>
      <w:r w:rsidRPr="00896399">
        <w:rPr>
          <w:b/>
          <w:i/>
          <w:color w:val="FF0000"/>
          <w:szCs w:val="28"/>
        </w:rPr>
        <w:t xml:space="preserve">Parecer Jurídico </w:t>
      </w:r>
      <w:r>
        <w:rPr>
          <w:b/>
          <w:i/>
          <w:color w:val="FF0000"/>
          <w:szCs w:val="28"/>
        </w:rPr>
        <w:t>p</w:t>
      </w:r>
      <w:r w:rsidRPr="00896399">
        <w:rPr>
          <w:b/>
          <w:i/>
          <w:color w:val="FF0000"/>
          <w:szCs w:val="28"/>
        </w:rPr>
        <w:t xml:space="preserve">ara Operações </w:t>
      </w:r>
      <w:r w:rsidR="00632317">
        <w:rPr>
          <w:b/>
          <w:i/>
          <w:color w:val="FF0000"/>
          <w:szCs w:val="28"/>
        </w:rPr>
        <w:t>de Crédito</w:t>
      </w:r>
    </w:p>
    <w:p w:rsidR="0056637D" w:rsidRDefault="0056637D" w:rsidP="0056637D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 xml:space="preserve">As informações destacadas em vermelho (incluindo esta primeira página) têm o objetivo de orientar a elaboração do “Parecer Jurídico para Operações </w:t>
      </w:r>
      <w:r w:rsidR="00632317">
        <w:rPr>
          <w:i/>
          <w:color w:val="FF0000"/>
          <w:szCs w:val="24"/>
        </w:rPr>
        <w:t>de Crédito</w:t>
      </w:r>
      <w:r w:rsidRPr="009125D2">
        <w:rPr>
          <w:i/>
          <w:color w:val="FF0000"/>
          <w:szCs w:val="24"/>
        </w:rPr>
        <w:t>”</w:t>
      </w:r>
      <w:r w:rsidR="00C20F7B">
        <w:rPr>
          <w:i/>
          <w:color w:val="FF0000"/>
          <w:szCs w:val="24"/>
        </w:rPr>
        <w:t>, com e sem a concessão da garantia da União,</w:t>
      </w:r>
      <w:r w:rsidRPr="009125D2">
        <w:rPr>
          <w:i/>
          <w:color w:val="FF0000"/>
          <w:szCs w:val="24"/>
        </w:rPr>
        <w:t xml:space="preserve"> e devem ser apagadas no documento final a ser entregue à Secretaria do Tesouro Nacional (STN).</w:t>
      </w:r>
    </w:p>
    <w:p w:rsidR="004C6130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Este documento deverá ser assinado pelo representante do órgão jurídico</w:t>
      </w:r>
      <w:r w:rsidR="00080974">
        <w:rPr>
          <w:i/>
          <w:color w:val="FF0000"/>
          <w:szCs w:val="24"/>
        </w:rPr>
        <w:t xml:space="preserve">. </w:t>
      </w:r>
    </w:p>
    <w:p w:rsidR="009125D2" w:rsidRPr="009125D2" w:rsidRDefault="009125D2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O parecer deverá apresentar a estrutura mínima a seguir, de forma a atender a todos os aspectos relacionados na legislação, objetivando conferir o devido amparo ao processo de avaliação do Ministério da Fazenda, bem como segurança e celeridade das análises.</w:t>
      </w: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Sugere-se a inclusão das sentenças indicadas em cada item da estrutura do parecer, de forma que não surjam dúvidas quanto à abrangência ou conteúdo da opinião jurídica, circunstância que poderia acarretar análises adicionais ou pedidos de informações complementares, que significam necessariamente atrasos no andamento do processo e ineficiência para o conjunto das operações em análise.</w:t>
      </w:r>
    </w:p>
    <w:p w:rsidR="009125D2" w:rsidRDefault="00C86C20" w:rsidP="00737AD2">
      <w:pPr>
        <w:pStyle w:val="Ttulo"/>
        <w:rPr>
          <w:rFonts w:eastAsia="Times New Roman" w:cs="Times New Roman"/>
          <w:color w:val="000000"/>
          <w:szCs w:val="24"/>
          <w:lang w:eastAsia="pt-BR"/>
        </w:rPr>
      </w:pPr>
      <w:r>
        <w:lastRenderedPageBreak/>
        <w:t>Parecer</w:t>
      </w:r>
      <w:r w:rsidR="0083293E">
        <w:t xml:space="preserve"> </w:t>
      </w:r>
      <w:r w:rsidR="00402BBD">
        <w:t xml:space="preserve">Jurídico para Operações </w:t>
      </w:r>
      <w:r w:rsidR="005A611D">
        <w:t>de Crédito</w:t>
      </w:r>
    </w:p>
    <w:p w:rsidR="007E40BD" w:rsidRPr="009125D2" w:rsidRDefault="007E40BD" w:rsidP="00512C87">
      <w:pPr>
        <w:spacing w:line="276" w:lineRule="auto"/>
        <w:ind w:firstLine="36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Em atendimento ao disposto no 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§ 1º do art. 32 da Lei Complementar nº 101, de 2000, e no </w:t>
      </w:r>
      <w:r w:rsidR="001D25C6">
        <w:rPr>
          <w:rFonts w:eastAsia="Times New Roman" w:cs="Times New Roman"/>
          <w:color w:val="000000"/>
          <w:szCs w:val="24"/>
          <w:lang w:eastAsia="pt-BR"/>
        </w:rPr>
        <w:t>i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nciso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I do art.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21 da Resolução do Senado Federal nº 43, de 2001,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no âmbito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d</w:t>
      </w:r>
      <w:r w:rsidR="0073386B">
        <w:rPr>
          <w:rFonts w:eastAsia="Times New Roman" w:cs="Times New Roman"/>
          <w:color w:val="000000"/>
          <w:szCs w:val="24"/>
          <w:lang w:eastAsia="pt-BR"/>
        </w:rPr>
        <w:t>e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pleito </w:t>
      </w:r>
      <w:r w:rsidR="0073386B">
        <w:rPr>
          <w:rFonts w:eastAsia="Times New Roman" w:cs="Times New Roman"/>
          <w:color w:val="000000"/>
          <w:szCs w:val="24"/>
          <w:lang w:eastAsia="pt-BR"/>
        </w:rPr>
        <w:t>do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com </w:t>
      </w:r>
      <w:r w:rsidR="00854476">
        <w:rPr>
          <w:rFonts w:eastAsia="Times New Roman" w:cs="Times New Roman"/>
          <w:color w:val="000000"/>
          <w:szCs w:val="24"/>
          <w:lang w:eastAsia="pt-BR"/>
        </w:rPr>
        <w:t>o BADESC -</w:t>
      </w:r>
      <w:r w:rsidR="00854476" w:rsidRPr="00854476">
        <w:rPr>
          <w:rFonts w:eastAsia="Times New Roman" w:cs="Times New Roman"/>
          <w:i/>
          <w:color w:val="000000"/>
          <w:szCs w:val="24"/>
          <w:lang w:eastAsia="pt-BR"/>
        </w:rPr>
        <w:t xml:space="preserve"> </w:t>
      </w:r>
      <w:r w:rsidR="00A31EDA" w:rsidRPr="00854476">
        <w:rPr>
          <w:rFonts w:eastAsia="Times New Roman" w:cs="Times New Roman"/>
          <w:szCs w:val="24"/>
          <w:lang w:eastAsia="pt-BR"/>
        </w:rPr>
        <w:t>Agência de Foment</w:t>
      </w:r>
      <w:r w:rsidR="00854476" w:rsidRPr="00854476">
        <w:rPr>
          <w:rFonts w:eastAsia="Times New Roman" w:cs="Times New Roman"/>
          <w:szCs w:val="24"/>
          <w:lang w:eastAsia="pt-BR"/>
        </w:rPr>
        <w:t>o do Estado de Santa Catarina S/A</w:t>
      </w:r>
      <w:r w:rsidRPr="00854476">
        <w:rPr>
          <w:rFonts w:eastAsia="Times New Roman" w:cs="Times New Roman"/>
          <w:i/>
          <w:color w:val="000000"/>
          <w:szCs w:val="24"/>
          <w:lang w:eastAsia="pt-BR"/>
        </w:rPr>
        <w:t>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no valor de R$ 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="0073386B" w:rsidRPr="009125D2">
        <w:rPr>
          <w:rFonts w:eastAsia="Times New Roman" w:cs="Times New Roman"/>
          <w:szCs w:val="24"/>
          <w:lang w:eastAsia="pt-BR"/>
        </w:rPr>
        <w:t>,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destinada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destinação da operação de crédito conforme a 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ei 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autorizadora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declaro que 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este ente </w:t>
      </w:r>
      <w:r w:rsidR="0073386B">
        <w:rPr>
          <w:rFonts w:eastAsia="Times New Roman" w:cs="Times New Roman"/>
          <w:color w:val="000000"/>
          <w:szCs w:val="24"/>
          <w:lang w:eastAsia="pt-BR"/>
        </w:rPr>
        <w:t>f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ederativo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atende às seguintes condições: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existência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de prévia e expressa autorização para a contratação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da operação em análise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texto da lei orçamentária, em créditos adicionais ou lei específica: Lei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n</w:t>
      </w:r>
      <w:r w:rsidR="0073386B">
        <w:rPr>
          <w:rFonts w:eastAsia="Times New Roman" w:cs="Times New Roman"/>
          <w:color w:val="000000"/>
          <w:szCs w:val="24"/>
          <w:lang w:eastAsia="pt-BR"/>
        </w:rPr>
        <w:t>º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[número da lei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[data da lei autorizadora]</w:t>
      </w:r>
      <w:r w:rsidR="00B51F43" w:rsidRPr="009125D2">
        <w:rPr>
          <w:rFonts w:eastAsia="Times New Roman" w:cs="Times New Roman"/>
          <w:color w:val="000000"/>
          <w:szCs w:val="24"/>
          <w:lang w:eastAsia="pt-BR"/>
        </w:rPr>
        <w:t>;</w:t>
      </w:r>
      <w:r w:rsidR="00C20F7B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[Caso o documento se refira a várias operações, especificar o nº da lei de cada uma; se for o caso indicar também a(s) lei(s) que modificou(</w:t>
      </w:r>
      <w:r w:rsidR="008027B1">
        <w:rPr>
          <w:rFonts w:eastAsia="Times New Roman" w:cs="Times New Roman"/>
          <w:b/>
          <w:i/>
          <w:color w:val="FF0000"/>
          <w:szCs w:val="24"/>
          <w:lang w:eastAsia="pt-BR"/>
        </w:rPr>
        <w:t>a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ram) a original</w:t>
      </w:r>
      <w:r w:rsidR="00C20F7B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inclusão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no orçamento ou em créditos adicionais dos recursos provenientes da operação de crédito mencionada;</w:t>
      </w:r>
      <w:r w:rsidR="001D25C6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1D25C6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[caso o primeiro desembolso não se realize no ano da análise, declarar a inclusão no Projeto de Lei Orçamentária Anual do exercício subsequente, informando o número do projeto e que está em andamento na Casa Legislativa local]</w:t>
      </w:r>
      <w:r w:rsidR="001D25C6">
        <w:rPr>
          <w:rFonts w:eastAsia="Times New Roman" w:cs="Times New Roman"/>
          <w:color w:val="000000"/>
          <w:szCs w:val="24"/>
          <w:lang w:eastAsia="pt-BR"/>
        </w:rPr>
        <w:t>;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atendimento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do disposto no inciso III do art. 167 da Constituição, </w:t>
      </w:r>
      <w:r w:rsidR="0073386B">
        <w:rPr>
          <w:rFonts w:eastAsia="Times New Roman" w:cs="Times New Roman"/>
          <w:color w:val="000000"/>
          <w:szCs w:val="24"/>
          <w:lang w:eastAsia="pt-BR"/>
        </w:rPr>
        <w:t>nos termos dos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 xml:space="preserve"> §§ 1º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>inciso V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e 3º do art. 32 da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Lei Complementar nº 101, de 2000;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observância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das demais disposições estabelecidas na Lei Complementar nº 101, de 2000, </w:t>
      </w:r>
      <w:r w:rsidR="00706870" w:rsidRPr="009125D2">
        <w:rPr>
          <w:rFonts w:eastAsia="Times New Roman" w:cs="Times New Roman"/>
          <w:color w:val="000000"/>
          <w:szCs w:val="24"/>
          <w:lang w:eastAsia="pt-BR"/>
        </w:rPr>
        <w:t xml:space="preserve">e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nas Resoluções nº 40 e nº 43, ambas de 2001, do Senado Federal.</w:t>
      </w:r>
    </w:p>
    <w:p w:rsidR="00512C87" w:rsidRDefault="00512C87" w:rsidP="00512C87">
      <w:pPr>
        <w:spacing w:line="276" w:lineRule="auto"/>
        <w:rPr>
          <w:rFonts w:cs="Times New Roman"/>
          <w:b/>
          <w:i/>
          <w:color w:val="FF0000"/>
          <w:szCs w:val="24"/>
        </w:rPr>
      </w:pPr>
    </w:p>
    <w:p w:rsidR="00A927D9" w:rsidRPr="009125D2" w:rsidRDefault="00A927D9" w:rsidP="00512C87">
      <w:pPr>
        <w:spacing w:line="276" w:lineRule="auto"/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[Cumprimento de outros requisitos exigidos pela legislação ou Constituição própria do ente, ou outras informações ou observações julgadas importantes]</w:t>
      </w:r>
      <w:r w:rsidRPr="009125D2">
        <w:rPr>
          <w:rFonts w:cs="Times New Roman"/>
          <w:szCs w:val="24"/>
        </w:rPr>
        <w:t>.</w:t>
      </w:r>
    </w:p>
    <w:p w:rsidR="00512C87" w:rsidRPr="009125D2" w:rsidRDefault="00512C87" w:rsidP="00C86C20">
      <w:pPr>
        <w:spacing w:after="120"/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512C87" w:rsidRDefault="00C86C20" w:rsidP="00C86C20">
      <w:pPr>
        <w:spacing w:after="120"/>
        <w:rPr>
          <w:rFonts w:cs="Times New Roman"/>
          <w:b/>
          <w:bCs/>
          <w:iCs/>
          <w:szCs w:val="24"/>
        </w:rPr>
      </w:pPr>
      <w:r w:rsidRPr="00512C87">
        <w:rPr>
          <w:rFonts w:cs="Times New Roman"/>
          <w:b/>
          <w:bCs/>
          <w:iCs/>
          <w:szCs w:val="24"/>
        </w:rPr>
        <w:t>CONCLUSÃO</w:t>
      </w:r>
    </w:p>
    <w:p w:rsidR="0073386B" w:rsidRPr="009125D2" w:rsidRDefault="0073386B" w:rsidP="0026514B">
      <w:pPr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9125D2" w:rsidRDefault="005A611D" w:rsidP="00512C87">
      <w:pPr>
        <w:spacing w:after="120" w:line="276" w:lineRule="auto"/>
        <w:ind w:firstLine="708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E</w:t>
      </w:r>
      <w:r w:rsidR="00C86C20" w:rsidRPr="009125D2">
        <w:rPr>
          <w:rFonts w:cs="Times New Roman"/>
          <w:iCs/>
          <w:szCs w:val="24"/>
        </w:rPr>
        <w:t>ntendo que este Parecer atesta o cumprimento do disposto no inciso I do art. 21 da Resolução do Senado Federal nº 43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2001, e do § </w:t>
      </w:r>
      <w:r w:rsidR="00D5267C" w:rsidRPr="009125D2">
        <w:rPr>
          <w:rFonts w:cs="Times New Roman"/>
          <w:iCs/>
          <w:szCs w:val="24"/>
        </w:rPr>
        <w:t>1</w:t>
      </w:r>
      <w:r w:rsidR="00D5267C">
        <w:rPr>
          <w:rFonts w:cs="Times New Roman"/>
          <w:iCs/>
          <w:szCs w:val="24"/>
        </w:rPr>
        <w:t>º</w:t>
      </w:r>
      <w:r w:rsidR="00C86C20" w:rsidRPr="009125D2">
        <w:rPr>
          <w:rFonts w:cs="Times New Roman"/>
          <w:iCs/>
          <w:szCs w:val="24"/>
        </w:rPr>
        <w:t xml:space="preserve"> do art. 32 da Lei Complementar </w:t>
      </w:r>
      <w:r w:rsidR="00D5267C">
        <w:rPr>
          <w:rFonts w:cs="Times New Roman"/>
          <w:iCs/>
          <w:szCs w:val="24"/>
        </w:rPr>
        <w:t xml:space="preserve">nº </w:t>
      </w:r>
      <w:r w:rsidR="00C86C20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2000, demonstrando o cumprimento dos limites e condições estabelecidos </w:t>
      </w:r>
      <w:r w:rsidR="0056637D" w:rsidRPr="009125D2">
        <w:rPr>
          <w:rFonts w:cs="Times New Roman"/>
          <w:iCs/>
          <w:szCs w:val="24"/>
        </w:rPr>
        <w:t xml:space="preserve">na legislação vigente, em especial na </w:t>
      </w:r>
      <w:r w:rsidR="00D5267C" w:rsidRPr="009125D2">
        <w:rPr>
          <w:rFonts w:cs="Times New Roman"/>
          <w:iCs/>
          <w:szCs w:val="24"/>
        </w:rPr>
        <w:t xml:space="preserve">Lei Complementar </w:t>
      </w:r>
      <w:r w:rsidR="00D5267C">
        <w:rPr>
          <w:rFonts w:cs="Times New Roman"/>
          <w:iCs/>
          <w:szCs w:val="24"/>
        </w:rPr>
        <w:t xml:space="preserve">nº </w:t>
      </w:r>
      <w:r w:rsidR="00D5267C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D5267C" w:rsidRPr="009125D2">
        <w:rPr>
          <w:rFonts w:cs="Times New Roman"/>
          <w:iCs/>
          <w:szCs w:val="24"/>
        </w:rPr>
        <w:t>2000</w:t>
      </w:r>
      <w:r w:rsidR="00D5267C">
        <w:rPr>
          <w:rFonts w:cs="Times New Roman"/>
          <w:iCs/>
          <w:szCs w:val="24"/>
        </w:rPr>
        <w:t>,</w:t>
      </w:r>
      <w:r w:rsidR="0056637D" w:rsidRPr="009125D2">
        <w:rPr>
          <w:rFonts w:cs="Times New Roman"/>
          <w:iCs/>
          <w:szCs w:val="24"/>
        </w:rPr>
        <w:t xml:space="preserve"> e nas Resoluções </w:t>
      </w:r>
      <w:r w:rsidR="00D5267C" w:rsidRPr="009125D2">
        <w:rPr>
          <w:rFonts w:eastAsia="Times New Roman" w:cs="Times New Roman"/>
          <w:color w:val="000000"/>
          <w:szCs w:val="24"/>
          <w:lang w:eastAsia="pt-BR"/>
        </w:rPr>
        <w:t>nº 40 e nº 43, ambas de 2001, do Senado Federal</w:t>
      </w:r>
      <w:r w:rsidR="0056637D" w:rsidRPr="009125D2">
        <w:rPr>
          <w:rFonts w:cs="Times New Roman"/>
          <w:iCs/>
          <w:szCs w:val="24"/>
        </w:rPr>
        <w:t>.</w:t>
      </w:r>
    </w:p>
    <w:p w:rsidR="009125D2" w:rsidRPr="009125D2" w:rsidRDefault="009125D2" w:rsidP="00402BBD">
      <w:pPr>
        <w:rPr>
          <w:rFonts w:cs="Times New Roman"/>
          <w:b/>
          <w:i/>
          <w:color w:val="FF0000"/>
          <w:szCs w:val="24"/>
        </w:rPr>
      </w:pPr>
    </w:p>
    <w:p w:rsidR="00402BBD" w:rsidRDefault="00402BBD" w:rsidP="00402BBD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[Local e data]</w:t>
      </w:r>
      <w:r w:rsidR="00D5267C">
        <w:rPr>
          <w:rFonts w:cs="Times New Roman"/>
          <w:szCs w:val="24"/>
        </w:rPr>
        <w:t>.</w:t>
      </w:r>
      <w:bookmarkStart w:id="1" w:name="_GoBack"/>
      <w:bookmarkEnd w:id="1"/>
    </w:p>
    <w:p w:rsidR="00512C87" w:rsidRPr="009125D2" w:rsidRDefault="00512C87" w:rsidP="00402BBD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Pr="009125D2" w:rsidRDefault="00402BBD" w:rsidP="009D1942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Default="00402BBD" w:rsidP="009D1942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  <w:p w:rsidR="00A04DCF" w:rsidRDefault="00A04DCF" w:rsidP="009D1942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>
              <w:rPr>
                <w:rFonts w:cs="Times New Roman"/>
                <w:b/>
                <w:i/>
                <w:color w:val="FF0000"/>
                <w:szCs w:val="24"/>
              </w:rPr>
              <w:t>[Identificação da OAB]</w:t>
            </w:r>
          </w:p>
          <w:p w:rsidR="00737AD2" w:rsidRPr="009125D2" w:rsidRDefault="00737AD2" w:rsidP="009D1942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</w:p>
        </w:tc>
      </w:tr>
      <w:bookmarkEnd w:id="0"/>
    </w:tbl>
    <w:p w:rsidR="00E63560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63560" w:rsidRPr="009125D2" w:rsidTr="009D1942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E63560" w:rsidRPr="009125D2" w:rsidTr="009D1942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:rsidR="00E63560" w:rsidRPr="00FD5AA5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sectPr w:rsidR="00E63560" w:rsidRPr="00FD5AA5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54E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236DB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EBB"/>
    <w:multiLevelType w:val="hybridMultilevel"/>
    <w:tmpl w:val="3A58CC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3D3F"/>
    <w:multiLevelType w:val="hybridMultilevel"/>
    <w:tmpl w:val="AE045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753"/>
    <w:multiLevelType w:val="hybridMultilevel"/>
    <w:tmpl w:val="CF72BCC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6"/>
    <w:rsid w:val="00037A63"/>
    <w:rsid w:val="00050D7B"/>
    <w:rsid w:val="000653DB"/>
    <w:rsid w:val="00080974"/>
    <w:rsid w:val="000A2EC6"/>
    <w:rsid w:val="000B4578"/>
    <w:rsid w:val="000C45FD"/>
    <w:rsid w:val="00123A71"/>
    <w:rsid w:val="00140E42"/>
    <w:rsid w:val="00182CF3"/>
    <w:rsid w:val="001A1749"/>
    <w:rsid w:val="001D25C6"/>
    <w:rsid w:val="001E3E09"/>
    <w:rsid w:val="00202880"/>
    <w:rsid w:val="002204F8"/>
    <w:rsid w:val="00237E9B"/>
    <w:rsid w:val="0024220F"/>
    <w:rsid w:val="0026514B"/>
    <w:rsid w:val="0028486B"/>
    <w:rsid w:val="002C7408"/>
    <w:rsid w:val="002E4AA7"/>
    <w:rsid w:val="003017B4"/>
    <w:rsid w:val="00304071"/>
    <w:rsid w:val="00375FA7"/>
    <w:rsid w:val="00382138"/>
    <w:rsid w:val="003D5BA6"/>
    <w:rsid w:val="003E69E8"/>
    <w:rsid w:val="003F77FE"/>
    <w:rsid w:val="00402BBD"/>
    <w:rsid w:val="004224DB"/>
    <w:rsid w:val="0046379D"/>
    <w:rsid w:val="004C6130"/>
    <w:rsid w:val="004E0A6F"/>
    <w:rsid w:val="00512C87"/>
    <w:rsid w:val="0056637D"/>
    <w:rsid w:val="00580661"/>
    <w:rsid w:val="00597B31"/>
    <w:rsid w:val="005A611D"/>
    <w:rsid w:val="005E38AD"/>
    <w:rsid w:val="00604586"/>
    <w:rsid w:val="00632317"/>
    <w:rsid w:val="0067120A"/>
    <w:rsid w:val="006B0C3D"/>
    <w:rsid w:val="006C5BDB"/>
    <w:rsid w:val="006D2062"/>
    <w:rsid w:val="006D5E72"/>
    <w:rsid w:val="006F37C9"/>
    <w:rsid w:val="007022A8"/>
    <w:rsid w:val="00706870"/>
    <w:rsid w:val="0073386B"/>
    <w:rsid w:val="00737AD2"/>
    <w:rsid w:val="007C5339"/>
    <w:rsid w:val="007E40BD"/>
    <w:rsid w:val="008027B1"/>
    <w:rsid w:val="0083293E"/>
    <w:rsid w:val="0084743F"/>
    <w:rsid w:val="00854476"/>
    <w:rsid w:val="008D2BFF"/>
    <w:rsid w:val="00910245"/>
    <w:rsid w:val="009125D2"/>
    <w:rsid w:val="00914E2A"/>
    <w:rsid w:val="009514F9"/>
    <w:rsid w:val="009D1942"/>
    <w:rsid w:val="00A04DCF"/>
    <w:rsid w:val="00A25C17"/>
    <w:rsid w:val="00A31EDA"/>
    <w:rsid w:val="00A730DB"/>
    <w:rsid w:val="00A927D9"/>
    <w:rsid w:val="00AC2FAF"/>
    <w:rsid w:val="00AD5D84"/>
    <w:rsid w:val="00AE0973"/>
    <w:rsid w:val="00AF28F1"/>
    <w:rsid w:val="00B51F43"/>
    <w:rsid w:val="00B5756A"/>
    <w:rsid w:val="00BB0981"/>
    <w:rsid w:val="00BB3B3E"/>
    <w:rsid w:val="00C203D8"/>
    <w:rsid w:val="00C20F7B"/>
    <w:rsid w:val="00C2350E"/>
    <w:rsid w:val="00C86C20"/>
    <w:rsid w:val="00CA2475"/>
    <w:rsid w:val="00CD01BB"/>
    <w:rsid w:val="00D35039"/>
    <w:rsid w:val="00D36D02"/>
    <w:rsid w:val="00D5111E"/>
    <w:rsid w:val="00D5267C"/>
    <w:rsid w:val="00D93507"/>
    <w:rsid w:val="00DE4537"/>
    <w:rsid w:val="00E63560"/>
    <w:rsid w:val="00E72A79"/>
    <w:rsid w:val="00E920C1"/>
    <w:rsid w:val="00EA068F"/>
    <w:rsid w:val="00EB3FD2"/>
    <w:rsid w:val="00EE1EEB"/>
    <w:rsid w:val="00FC0734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D206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2EC6"/>
  </w:style>
  <w:style w:type="character" w:customStyle="1" w:styleId="Ttulo1Char">
    <w:name w:val="Título 1 Char"/>
    <w:basedOn w:val="Fontepargpadro"/>
    <w:link w:val="Ttulo1"/>
    <w:uiPriority w:val="9"/>
    <w:rsid w:val="006D2062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A2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2EC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2EC6"/>
    <w:rPr>
      <w:i/>
      <w:iCs/>
    </w:rPr>
  </w:style>
  <w:style w:type="paragraph" w:styleId="PargrafodaLista">
    <w:name w:val="List Paragraph"/>
    <w:basedOn w:val="Normal"/>
    <w:uiPriority w:val="34"/>
    <w:qFormat/>
    <w:rsid w:val="008474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2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C5BD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5BD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B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663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37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D206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2EC6"/>
  </w:style>
  <w:style w:type="character" w:customStyle="1" w:styleId="Ttulo1Char">
    <w:name w:val="Título 1 Char"/>
    <w:basedOn w:val="Fontepargpadro"/>
    <w:link w:val="Ttulo1"/>
    <w:uiPriority w:val="9"/>
    <w:rsid w:val="006D2062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A2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2EC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2EC6"/>
    <w:rPr>
      <w:i/>
      <w:iCs/>
    </w:rPr>
  </w:style>
  <w:style w:type="paragraph" w:styleId="PargrafodaLista">
    <w:name w:val="List Paragraph"/>
    <w:basedOn w:val="Normal"/>
    <w:uiPriority w:val="34"/>
    <w:qFormat/>
    <w:rsid w:val="008474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2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C5BD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5BD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B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663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37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Immanuel Schumacher</dc:creator>
  <cp:lastModifiedBy>Elida Gonçalves Pereira</cp:lastModifiedBy>
  <cp:revision>3</cp:revision>
  <cp:lastPrinted>2014-11-18T18:46:00Z</cp:lastPrinted>
  <dcterms:created xsi:type="dcterms:W3CDTF">2018-07-03T18:35:00Z</dcterms:created>
  <dcterms:modified xsi:type="dcterms:W3CDTF">2018-07-03T18:38:00Z</dcterms:modified>
</cp:coreProperties>
</file>